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一、项目基本情况</w:t>
      </w:r>
    </w:p>
    <w:tbl>
      <w:tblPr>
        <w:tblStyle w:val="3"/>
        <w:tblW w:w="99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58"/>
        <w:gridCol w:w="2610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int="eastAsia" w:hAnsi="宋体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ind w:left="32" w:firstLine="2660" w:firstLineChars="9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专业评审组：</w:t>
            </w:r>
            <w:r>
              <w:rPr>
                <w:color w:val="000000"/>
                <w:sz w:val="28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1352" w:firstLineChars="449"/>
              <w:rPr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核桃油加工关键技术创新及产业化应用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360" w:lineRule="auto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张四红、朱振宝、张跃进、何东平、李林开、易建华、李云雁、刘军、张效忠、蔡春茂、吴建宝、曾祥菊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360" w:lineRule="auto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武汉轻工大学、</w:t>
            </w:r>
            <w:r>
              <w:rPr>
                <w:rFonts w:hint="eastAsia" w:cs="宋体"/>
                <w:sz w:val="28"/>
                <w:szCs w:val="28"/>
              </w:rPr>
              <w:t>陕西科技大学、云南摩尔农庄生物科技开发有限公司、云南省粮油科学研究院、云南滇雪粮油有限公司、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西藏特色产业股份有限公司、重庆市九重山实业有限公司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3" w:hRule="exac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武汉轻工大学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exac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√</w:t>
            </w:r>
            <w:r>
              <w:rPr>
                <w:color w:val="000000"/>
                <w:sz w:val="28"/>
              </w:rPr>
              <w:t>A.</w:t>
            </w:r>
            <w:r>
              <w:rPr>
                <w:rFonts w:hint="eastAsia" w:hAnsi="宋体"/>
                <w:color w:val="000000"/>
                <w:sz w:val="28"/>
              </w:rPr>
              <w:t>国家计划</w:t>
            </w:r>
            <w:r>
              <w:rPr>
                <w:rFonts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int="eastAsia" w:hAnsi="宋体"/>
                <w:color w:val="000000"/>
                <w:sz w:val="28"/>
              </w:rPr>
              <w:t>部委计划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√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int="eastAsia" w:hAnsi="宋体"/>
                <w:color w:val="000000"/>
                <w:sz w:val="28"/>
              </w:rPr>
              <w:t>省、市、自治区计划</w:t>
            </w:r>
          </w:p>
          <w:p>
            <w:pPr>
              <w:adjustRightInd w:val="0"/>
              <w:snapToGrid w:val="0"/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int="eastAsia" w:hAnsi="宋体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int="eastAsia" w:hAnsi="宋体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int="eastAsia" w:hAnsi="宋体"/>
                <w:color w:val="000000"/>
                <w:sz w:val="28"/>
              </w:rPr>
              <w:t>其他单位委托</w:t>
            </w:r>
            <w:r>
              <w:rPr>
                <w:color w:val="000000"/>
                <w:sz w:val="28"/>
              </w:rPr>
              <w:t>G.</w:t>
            </w:r>
            <w:r>
              <w:rPr>
                <w:rFonts w:hint="eastAsia" w:hAnsi="宋体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int="eastAsia" w:hAnsi="宋体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int="eastAsia" w:hAnsi="宋体"/>
                <w:color w:val="000000"/>
                <w:sz w:val="28"/>
              </w:rPr>
              <w:t>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exac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360" w:lineRule="auto"/>
              <w:ind w:firstLine="420" w:firstLineChars="1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可公开，不保密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科技部农业科技转化基金项目“西藏野生核桃油研究成果产业化示范”（</w:t>
            </w:r>
            <w:r>
              <w:rPr>
                <w:rFonts w:ascii="宋体" w:hAnsi="宋体"/>
                <w:color w:val="000000"/>
                <w:szCs w:val="21"/>
              </w:rPr>
              <w:t>2009GB2F400350</w:t>
            </w:r>
            <w:r>
              <w:rPr>
                <w:rFonts w:hint="eastAsia" w:ascii="宋体" w:hAnsi="宋体"/>
                <w:color w:val="000000"/>
                <w:szCs w:val="21"/>
              </w:rPr>
              <w:t>）。</w:t>
            </w:r>
          </w:p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“云南省科技计划项目“核桃深加工产品产业化技术开发”（</w:t>
            </w:r>
            <w:r>
              <w:rPr>
                <w:rFonts w:ascii="宋体" w:hAnsi="宋体"/>
                <w:color w:val="000000"/>
                <w:szCs w:val="21"/>
              </w:rPr>
              <w:t>2009EB066</w:t>
            </w:r>
            <w:r>
              <w:rPr>
                <w:rFonts w:hint="eastAsia" w:ascii="宋体" w:hAnsi="宋体"/>
                <w:color w:val="000000"/>
                <w:szCs w:val="21"/>
              </w:rPr>
              <w:t>）。</w:t>
            </w:r>
          </w:p>
          <w:p>
            <w:pPr>
              <w:spacing w:line="360" w:lineRule="exact"/>
              <w:rPr>
                <w:color w:val="000000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  <w:r>
              <w:rPr>
                <w:rFonts w:eastAsia="Times New Roman"/>
                <w:color w:val="000000"/>
                <w:sz w:val="30"/>
                <w:szCs w:val="30"/>
              </w:rPr>
              <w:t>200</w:t>
            </w:r>
            <w:r>
              <w:rPr>
                <w:color w:val="000000"/>
                <w:sz w:val="30"/>
                <w:szCs w:val="30"/>
              </w:rPr>
              <w:t>2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</w:t>
            </w:r>
            <w:r>
              <w:rPr>
                <w:rFonts w:eastAsia="Times New Roman"/>
                <w:color w:val="000000"/>
                <w:sz w:val="30"/>
                <w:szCs w:val="30"/>
              </w:rPr>
              <w:t>01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月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 01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完成：</w:t>
            </w:r>
            <w:r>
              <w:rPr>
                <w:rFonts w:eastAsia="Times New Roman"/>
                <w:color w:val="000000"/>
                <w:sz w:val="30"/>
                <w:szCs w:val="30"/>
              </w:rPr>
              <w:t>201</w:t>
            </w:r>
            <w:r>
              <w:rPr>
                <w:color w:val="000000"/>
                <w:sz w:val="30"/>
                <w:szCs w:val="30"/>
              </w:rPr>
              <w:t>8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</w:t>
            </w:r>
            <w:r>
              <w:rPr>
                <w:color w:val="000000"/>
                <w:sz w:val="30"/>
                <w:szCs w:val="30"/>
              </w:rPr>
              <w:t>04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月</w:t>
            </w:r>
            <w:r>
              <w:rPr>
                <w:color w:val="00000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pageBreakBefore/>
        <w:spacing w:after="130" w:afterLines="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二、项目简介</w:t>
      </w:r>
    </w:p>
    <w:tbl>
      <w:tblPr>
        <w:tblStyle w:val="3"/>
        <w:tblW w:w="97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7" w:hRule="exact"/>
          <w:jc w:val="center"/>
        </w:trPr>
        <w:tc>
          <w:tcPr>
            <w:tcW w:w="9755" w:type="dxa"/>
            <w:tcBorders>
              <w:top w:val="single" w:color="auto" w:sz="6" w:space="0"/>
            </w:tcBorders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（项目所属学科领域、主要内容、特点及应用推广情况）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本项目隶属于食品科学技术领域。针对我国核桃产品结构单一、加工技术相对落后等多项技术难题，本项目以核桃加工与综合利用为主线，破解了野生核桃剥壳难题，首创了核桃低温压榨及系列产品的关键制备技术与工艺，自主研发了核桃乳关键加工技术与设备，突破了核桃加工技术瓶颈并实现了产业化，取得了多项创新性成果。</w:t>
            </w:r>
          </w:p>
          <w:p>
            <w:pPr>
              <w:ind w:right="35" w:firstLine="600" w:firstLineChars="250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1. </w:t>
            </w:r>
            <w:r>
              <w:rPr>
                <w:rFonts w:hint="eastAsia" w:cs="宋体"/>
                <w:color w:val="000000"/>
                <w:sz w:val="24"/>
              </w:rPr>
              <w:t>首创了核桃清理剥壳、破碎分离、调质和低温压榨制油的关键技术：采用锤片式破碎机破碎后结合分选机进行分选，不符合粒径的重新进行破碎，同时在输送系统中施以冷风急速冷却以利于壳仁分离；以野生核桃和泡核桃为原料，剥壳后经低温压榨法得到核桃毛油。采用膜法脱胶、脱酸；针对特殊人群的营养需求，以核桃油为基油，科学研制了三种专用营养油。</w:t>
            </w:r>
          </w:p>
          <w:p>
            <w:pPr>
              <w:ind w:right="35" w:firstLine="600" w:firstLineChars="250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2. </w:t>
            </w:r>
            <w:r>
              <w:rPr>
                <w:rFonts w:hint="eastAsia" w:cs="宋体"/>
                <w:color w:val="000000"/>
                <w:sz w:val="24"/>
              </w:rPr>
              <w:t>开创了核桃蛋白和核桃肽的关键制备工艺和技术。以压榨核桃饼为原料，以水酶法同步提取核桃残油和核桃蛋白，结合糖化酶处理，提高了核桃蛋白纯度；实现了核桃蛋白及多肽的高值、高效制备及产业化。</w:t>
            </w:r>
          </w:p>
          <w:p>
            <w:pPr>
              <w:ind w:right="35" w:firstLine="600" w:firstLineChars="250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3. </w:t>
            </w:r>
            <w:r>
              <w:rPr>
                <w:rFonts w:hint="eastAsia" w:cs="宋体"/>
                <w:color w:val="000000"/>
                <w:sz w:val="24"/>
              </w:rPr>
              <w:t>突破了核桃蛋白和核桃产品等多项综合利用关键技术。采用自动化流水作业方式实现核桃仁膜衣去除，采用轴流式控温输料装置辅助负压与离心分离，实现稠浆物料的高效分离与干燥，并保存有效成分；开发出系列产品，实现了核桃全产业链创新开发。</w:t>
            </w:r>
          </w:p>
          <w:p>
            <w:pPr>
              <w:ind w:right="35" w:firstLine="600" w:firstLineChars="250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 xml:space="preserve">4. </w:t>
            </w:r>
            <w:r>
              <w:rPr>
                <w:rFonts w:hint="eastAsia" w:cs="宋体"/>
                <w:color w:val="000000"/>
                <w:sz w:val="24"/>
              </w:rPr>
              <w:t>建立了近红外光谱法无损快速测定核桃中主要组分（水分、蛋白质、脂肪）的方法，首次优化了</w:t>
            </w:r>
            <w:r>
              <w:rPr>
                <w:rFonts w:cs="宋体"/>
                <w:color w:val="000000"/>
                <w:sz w:val="24"/>
              </w:rPr>
              <w:t>Rancimat</w:t>
            </w:r>
            <w:r>
              <w:rPr>
                <w:rFonts w:hint="eastAsia" w:cs="宋体"/>
                <w:color w:val="000000"/>
                <w:sz w:val="24"/>
              </w:rPr>
              <w:t>法测定核桃油氧化稳定性的方法。揭示了核桃油组分与其氧化稳定相关性；初创了坚果油脂复配技术，改善了核桃油脂的贮存氧化稳定性，攻克了核桃油品质保持技术难题。</w:t>
            </w:r>
          </w:p>
          <w:p>
            <w:pPr>
              <w:ind w:right="35" w:firstLine="600" w:firstLineChars="250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本项目共承担国家及省部级课题</w:t>
            </w:r>
            <w:r>
              <w:rPr>
                <w:rFonts w:cs="宋体"/>
                <w:color w:val="000000"/>
                <w:sz w:val="24"/>
              </w:rPr>
              <w:t>7</w:t>
            </w:r>
            <w:r>
              <w:rPr>
                <w:rFonts w:hint="eastAsia" w:cs="宋体"/>
                <w:color w:val="000000"/>
                <w:sz w:val="24"/>
              </w:rPr>
              <w:t>项；获国家专利</w:t>
            </w:r>
            <w:r>
              <w:rPr>
                <w:rFonts w:cs="宋体"/>
                <w:color w:val="000000"/>
                <w:sz w:val="24"/>
              </w:rPr>
              <w:t>56</w:t>
            </w:r>
            <w:r>
              <w:rPr>
                <w:rFonts w:hint="eastAsia" w:cs="宋体"/>
                <w:color w:val="000000"/>
                <w:sz w:val="24"/>
              </w:rPr>
              <w:t>项，其中发明专利</w:t>
            </w:r>
            <w:r>
              <w:rPr>
                <w:rFonts w:cs="宋体"/>
                <w:color w:val="000000"/>
                <w:sz w:val="24"/>
              </w:rPr>
              <w:t>13</w:t>
            </w:r>
            <w:r>
              <w:rPr>
                <w:rFonts w:hint="eastAsia" w:cs="宋体"/>
                <w:color w:val="000000"/>
                <w:sz w:val="24"/>
              </w:rPr>
              <w:t>项，实用新型专利</w:t>
            </w:r>
            <w:r>
              <w:rPr>
                <w:rFonts w:cs="宋体"/>
                <w:color w:val="000000"/>
                <w:sz w:val="24"/>
              </w:rPr>
              <w:t>20</w:t>
            </w:r>
            <w:r>
              <w:rPr>
                <w:rFonts w:hint="eastAsia" w:cs="宋体"/>
                <w:color w:val="000000"/>
                <w:sz w:val="24"/>
              </w:rPr>
              <w:t>项，外观设计专利</w:t>
            </w:r>
            <w:r>
              <w:rPr>
                <w:rFonts w:cs="宋体"/>
                <w:color w:val="000000"/>
                <w:sz w:val="24"/>
              </w:rPr>
              <w:t>23</w:t>
            </w:r>
            <w:r>
              <w:rPr>
                <w:rFonts w:hint="eastAsia" w:cs="宋体"/>
                <w:color w:val="000000"/>
                <w:sz w:val="24"/>
              </w:rPr>
              <w:t>项；发表论文</w:t>
            </w:r>
            <w:r>
              <w:rPr>
                <w:rFonts w:cs="宋体"/>
                <w:color w:val="000000"/>
                <w:sz w:val="24"/>
              </w:rPr>
              <w:t>46</w:t>
            </w:r>
            <w:r>
              <w:rPr>
                <w:rFonts w:hint="eastAsia" w:cs="宋体"/>
                <w:color w:val="000000"/>
                <w:sz w:val="24"/>
              </w:rPr>
              <w:t>篇（其中</w:t>
            </w:r>
            <w:r>
              <w:rPr>
                <w:rFonts w:cs="宋体"/>
                <w:color w:val="000000"/>
                <w:sz w:val="24"/>
              </w:rPr>
              <w:t>SCI</w:t>
            </w:r>
            <w:r>
              <w:rPr>
                <w:rFonts w:hint="eastAsia" w:cs="宋体"/>
                <w:color w:val="000000"/>
                <w:sz w:val="24"/>
              </w:rPr>
              <w:t>、</w:t>
            </w:r>
            <w:r>
              <w:rPr>
                <w:rFonts w:cs="宋体"/>
                <w:color w:val="000000"/>
                <w:sz w:val="24"/>
              </w:rPr>
              <w:t>EI 8</w:t>
            </w:r>
            <w:r>
              <w:rPr>
                <w:rFonts w:hint="eastAsia" w:cs="宋体"/>
                <w:color w:val="000000"/>
                <w:sz w:val="24"/>
              </w:rPr>
              <w:t>篇）；出版著作</w:t>
            </w:r>
            <w:r>
              <w:rPr>
                <w:rFonts w:cs="宋体"/>
                <w:color w:val="000000"/>
                <w:sz w:val="24"/>
              </w:rPr>
              <w:t>3</w:t>
            </w:r>
            <w:r>
              <w:rPr>
                <w:rFonts w:hint="eastAsia" w:cs="宋体"/>
                <w:color w:val="000000"/>
                <w:sz w:val="24"/>
              </w:rPr>
              <w:t>部；培养研究生</w:t>
            </w:r>
            <w:r>
              <w:rPr>
                <w:rFonts w:cs="宋体"/>
                <w:color w:val="000000"/>
                <w:sz w:val="24"/>
              </w:rPr>
              <w:t>15</w:t>
            </w:r>
            <w:r>
              <w:rPr>
                <w:rFonts w:hint="eastAsia" w:cs="宋体"/>
                <w:color w:val="000000"/>
                <w:sz w:val="24"/>
              </w:rPr>
              <w:t>名；主持制（修）订《核桃油》等</w:t>
            </w:r>
            <w:r>
              <w:rPr>
                <w:rFonts w:cs="宋体"/>
                <w:color w:val="000000"/>
                <w:sz w:val="24"/>
              </w:rPr>
              <w:t>3</w:t>
            </w:r>
            <w:r>
              <w:rPr>
                <w:rFonts w:hint="eastAsia" w:cs="宋体"/>
                <w:color w:val="000000"/>
                <w:sz w:val="24"/>
              </w:rPr>
              <w:t>项国家、行业标准；取得鉴定及评价成果</w:t>
            </w:r>
            <w:r>
              <w:rPr>
                <w:rFonts w:cs="宋体"/>
                <w:color w:val="000000"/>
                <w:sz w:val="24"/>
              </w:rPr>
              <w:t>6</w:t>
            </w:r>
            <w:r>
              <w:rPr>
                <w:rFonts w:hint="eastAsia" w:cs="宋体"/>
                <w:color w:val="000000"/>
                <w:sz w:val="24"/>
              </w:rPr>
              <w:t>项，整体技术水平达到国际先进。其中四家企业三年累计实现销售收入20.28亿元，利润2.20亿元，经济和社会效益显著。</w:t>
            </w:r>
          </w:p>
          <w:p>
            <w:pPr>
              <w:adjustRightInd w:val="0"/>
              <w:snapToGrid w:val="0"/>
              <w:spacing w:line="480" w:lineRule="exact"/>
              <w:ind w:firstLine="600" w:firstLineChars="25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cs="宋体"/>
                <w:color w:val="000000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440" w:lineRule="exact"/>
              <w:ind w:firstLine="420" w:firstLineChars="200"/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9755" w:type="dxa"/>
            <w:tcBorders>
              <w:bottom w:val="single" w:color="auto" w:sz="6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16A33"/>
    <w:rsid w:val="67B16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2018-04-09T06:16:00Z</dcterms:created>
  <dc:creator>TMManson</dc:creator>
  <cp:lastModifiedBy>TMManson</cp:lastModifiedBy>
  <dcterms:modified xsi:type="dcterms:W3CDTF">2018-04-09T06:16:33Z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